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Look Inside Kids eLearn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rtl w:val="0"/>
        </w:rPr>
      </w:r>
    </w:p>
    <w:p w:rsidR="00000000" w:rsidDel="00000000" w:rsidP="00000000" w:rsidRDefault="00000000" w:rsidRPr="00000000" w14:paraId="00000004">
      <w:pPr>
        <w:ind w:firstLine="720"/>
        <w:rPr>
          <w:sz w:val="24"/>
          <w:szCs w:val="24"/>
        </w:rPr>
      </w:pPr>
      <w:r w:rsidDel="00000000" w:rsidR="00000000" w:rsidRPr="00000000">
        <w:rPr>
          <w:sz w:val="24"/>
          <w:szCs w:val="24"/>
          <w:rtl w:val="0"/>
        </w:rPr>
        <w:t xml:space="preserve">Kids eLearn is the premier general reference site, uniquely developed for young Arabic-speaking students. The site features simple navigation, easy-to-read articles, thousands of illustrations, videos, special localized content and resources, and a wealth of engaging games and activities. A first-of-its-kind Arabic language reference site developed specifically for primary students. eLearn ignites curiosity through an easy-to-follow layout, hands-on activities, world maps, customizable country resources, educational games, videos, and pictures. Kids eLearn is designed to inspire youngsters to think outside the boundaries of the classroom and connect with the community and the world around them. The site was developed for easy reading of articles and practical activities are carefully designed to produce a generation of distinguished students who are culturally sensitive and ready to take on the global challenges of our digital age.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