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Kids eLearn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Kids eLearn is the premier general reference site, uniquely developed for young Arabic-speaking students. The site features simple navigation, easy-to-read articles, thousands of illustrations, videos, special localized content and resources, and a wealth of engaging games and activities. A first-of-its-kind Arabic language reference site developed specifically for primary students. eLearn ignites curiosity through an easy-to-follow layout, hands-on activities, world maps, customizable country resources, educational games, videos, and pictures. Kids eLearn is designed to inspire youngsters to think outside the boundaries of the classroom and connect with the community and the world around them. The site was developed for easy reading of articles and practical activities are carefully designed to produce a generation of distinguished students who are culturally sensitive and ready to take on the global challenges of our digital age.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