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Advanced Resource Guides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we’ll look at where to find and how to use Resource Guides on World Book </w:t>
      </w:r>
      <w:r w:rsidDel="00000000" w:rsidR="00000000" w:rsidRPr="00000000">
        <w:rPr>
          <w:i w:val="1"/>
          <w:rtl w:val="0"/>
        </w:rPr>
        <w:t xml:space="preserve">Advanced</w:t>
      </w:r>
      <w:r w:rsidDel="00000000" w:rsidR="00000000" w:rsidRPr="00000000">
        <w:rPr>
          <w:rtl w:val="0"/>
        </w:rPr>
        <w:t xml:space="preserve">. Resource Guides collect a wealth of links to related World Book articles, study questions, selected media, books to read, government websites, newspapers, and additional resources</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To find Resource Guides, click “Research and Resources,” then “Resource Guides.” The Resource Guides that you find here are related to countries, states, and provinces from around the world. Guides will geolocate to your country, but other locations can be selected from the drop-down menu near the top right hand side of the page.</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On the left side of the page, you’ll see a menu that will sort the types of resources.</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Resource Guides may also be available for non-geographical topics. For example, if you search “water” and click “More,” you’ll see that there are four Resource Guides related to this search. Resource Guides may not be available for every topic, but they are available for many.</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