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eLearn Overview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i w:val="1"/>
          <w:rtl w:val="0"/>
        </w:rPr>
        <w:t xml:space="preserve">Kids eLearn</w:t>
      </w:r>
      <w:r w:rsidDel="00000000" w:rsidR="00000000" w:rsidRPr="00000000">
        <w:rPr>
          <w:rtl w:val="0"/>
        </w:rPr>
        <w:t xml:space="preserve"> strives to ignite the curiosity of the human mind and create, develop, enrich and sustain lifelong learners by supplying the content young students need in the form that they desire. Let's get started by taking a look at the rich encyclopedia content available on </w:t>
      </w:r>
      <w:r w:rsidDel="00000000" w:rsidR="00000000" w:rsidRPr="00000000">
        <w:rPr>
          <w:i w:val="1"/>
          <w:rtl w:val="0"/>
        </w:rPr>
        <w:t xml:space="preserve">Kids eLearn</w:t>
      </w:r>
      <w:r w:rsidDel="00000000" w:rsidR="00000000" w:rsidRPr="00000000">
        <w:rPr>
          <w:rtl w:val="0"/>
        </w:rPr>
        <w:t xml:space="preserve">. There are over 5,000 articles available on the site with a wide variety of ways to reach the content. </w:t>
      </w:r>
      <w:r w:rsidDel="00000000" w:rsidR="00000000" w:rsidRPr="00000000">
        <w:rPr>
          <w:i w:val="1"/>
          <w:rtl w:val="0"/>
        </w:rPr>
        <w:t xml:space="preserve">Kids eLearn</w:t>
      </w:r>
      <w:r w:rsidDel="00000000" w:rsidR="00000000" w:rsidRPr="00000000">
        <w:rPr>
          <w:rtl w:val="0"/>
        </w:rPr>
        <w:t xml:space="preserve"> features both simple search and browse navigation, ensuring that students of all reading abilities are able to access the content they need with ease.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On the right hand side of the page, you can see the expandable browse categories. Students can choose to browse the site by clicking on any one of the categories. Here you can see, starting from the top, we have people, places, math and science, religion, plants, government, activities, and sports and hobbies. From here students can drill down until they find the articles they're most interested in. Each category is color-coded to help young students recognize the article groupings and general relationship between articles.</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At the top of the homepage, students will find the search bar. Here students type in their search term. I'm going to do a search on Gandhi. On the search results page, you will see a related article listing along with a short description, so students can find the most relevant articles for their research needs. Many articles in the search results include a thumbnail next to the title to add a visual aid. I'm going to click on the article on Gandhi. At the top of the page is the tools menu. This includes options to increase or decrease the font size, print the article, or email the article for later reference. A wide variety of media is embedded within the article, including images, quick facts, maps, and videos. Now we're going to head back to the homepage.</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In the center of the home page, you will see two tabs enabling students to browse featured pictures and videos. Students can scroll through the selected images by clicking on the arrows below the tabs, or they can jump over to the video tab to view selected videos. Because young students are such visual learners, this feature was added to engage students with the content. Students can toggle back and forth between the image and video galleries by clicking on the yellow and green tabs. Clicking directly on the image will take students to the related </w:t>
      </w:r>
      <w:r w:rsidDel="00000000" w:rsidR="00000000" w:rsidRPr="00000000">
        <w:rPr>
          <w:i w:val="1"/>
          <w:rtl w:val="0"/>
        </w:rPr>
        <w:t xml:space="preserve">Kids eLearn</w:t>
      </w:r>
      <w:r w:rsidDel="00000000" w:rsidR="00000000" w:rsidRPr="00000000">
        <w:rPr>
          <w:rtl w:val="0"/>
        </w:rPr>
        <w:t xml:space="preserve"> article.</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Now it's time to take a look at some of the special features on the site. Let's get started by taking a look at the Activities and More section. Here you will find dozens of hands-on activities. These were designed to get kids away from the computer and become engaged in their classroom. There are over 100 activities that correlate to key curriculum topics. The activities were built around the following concepts: “Think it” (this is for more analytical, logical learners who do well with brain teasers and puzzles), “Be it” (this is for kids who use make believe as a learning tool- be a president, be a king, be a zoologist), “Make it” (these are kids who want to get their hands dirty creating things, like a volcano that really explodes or building a model of a spaceship), and the final category is “Teach it.” These are teachers’ versions that include objectives, standards, discussion questions, and a grading rubric.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Similar to the article pages, at the top of every activities page you will find options to print, email, or save the active, as well as options to increase or decrease the font size. Each of the activities includes a short list of easy to find materials as well as simple instructions and, when necessary, supporting illustrations.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